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EC13">
      <w:pPr>
        <w:jc w:val="center"/>
        <w:rPr>
          <w:rFonts w:hint="default" w:asciiTheme="minorEastAsia" w:hAnsiTheme="minorEastAsia" w:eastAsiaTheme="minorEastAsia"/>
          <w:b/>
          <w:bCs/>
          <w:sz w:val="36"/>
          <w:szCs w:val="36"/>
          <w:lang w:val="en-US" w:eastAsia="zh-CN"/>
        </w:rPr>
      </w:pPr>
      <w:r>
        <w:rPr>
          <w:rFonts w:hint="eastAsia" w:asciiTheme="minorEastAsia" w:hAnsiTheme="minorEastAsia" w:eastAsiaTheme="minorEastAsia"/>
          <w:b/>
          <w:bCs/>
          <w:sz w:val="36"/>
          <w:szCs w:val="36"/>
          <w:lang w:val="en-US" w:eastAsia="zh-CN"/>
        </w:rPr>
        <w:t>重阳节活动议价评分</w:t>
      </w:r>
    </w:p>
    <w:p w14:paraId="07C70F89">
      <w:pPr>
        <w:rPr>
          <w:rFonts w:eastAsiaTheme="minorEastAsia"/>
          <w:b/>
          <w:bCs/>
        </w:rPr>
      </w:pPr>
      <w:r>
        <w:rPr>
          <w:rFonts w:hint="eastAsia" w:asciiTheme="minorEastAsia" w:hAnsiTheme="minorEastAsia" w:eastAsiaTheme="minorEastAsia"/>
          <w:b/>
          <w:bCs/>
          <w:szCs w:val="21"/>
        </w:rPr>
        <w:t>磋商方法及标准（满分</w:t>
      </w:r>
      <w:r>
        <w:rPr>
          <w:rFonts w:hint="eastAsia" w:asciiTheme="minorEastAsia" w:hAnsiTheme="minorEastAsia" w:eastAsiaTheme="minorEastAsia"/>
          <w:b/>
          <w:bCs/>
          <w:szCs w:val="21"/>
          <w:lang w:val="en-US" w:eastAsia="zh-CN"/>
        </w:rPr>
        <w:t>50</w:t>
      </w:r>
      <w:r>
        <w:rPr>
          <w:rFonts w:hint="eastAsia" w:asciiTheme="minorEastAsia" w:hAnsiTheme="minorEastAsia" w:eastAsiaTheme="minorEastAsia"/>
          <w:b/>
          <w:bCs/>
          <w:szCs w:val="21"/>
        </w:rPr>
        <w:t>分）</w:t>
      </w:r>
    </w:p>
    <w:tbl>
      <w:tblPr>
        <w:tblStyle w:val="5"/>
        <w:tblW w:w="89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930"/>
        <w:gridCol w:w="6568"/>
        <w:gridCol w:w="569"/>
      </w:tblGrid>
      <w:tr w14:paraId="62981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tcBorders>
              <w:tl2br w:val="nil"/>
              <w:tr2bl w:val="nil"/>
            </w:tcBorders>
            <w:shd w:val="clear" w:color="auto" w:fill="8496B0" w:themeFill="text2" w:themeFillTint="99"/>
            <w:vAlign w:val="center"/>
          </w:tcPr>
          <w:p w14:paraId="78AE6AC6">
            <w:pPr>
              <w:autoSpaceDE w:val="0"/>
              <w:autoSpaceDN w:val="0"/>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项目</w:t>
            </w:r>
          </w:p>
        </w:tc>
        <w:tc>
          <w:tcPr>
            <w:tcW w:w="930" w:type="dxa"/>
            <w:tcBorders>
              <w:tl2br w:val="nil"/>
              <w:tr2bl w:val="nil"/>
            </w:tcBorders>
            <w:shd w:val="clear" w:color="auto" w:fill="8496B0" w:themeFill="text2" w:themeFillTint="99"/>
            <w:vAlign w:val="center"/>
          </w:tcPr>
          <w:p w14:paraId="33B7CC56">
            <w:pPr>
              <w:autoSpaceDE w:val="0"/>
              <w:autoSpaceDN w:val="0"/>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评分</w:t>
            </w:r>
          </w:p>
        </w:tc>
        <w:tc>
          <w:tcPr>
            <w:tcW w:w="6568" w:type="dxa"/>
            <w:tcBorders>
              <w:tl2br w:val="nil"/>
              <w:tr2bl w:val="nil"/>
            </w:tcBorders>
            <w:shd w:val="clear" w:color="auto" w:fill="8496B0" w:themeFill="text2" w:themeFillTint="99"/>
            <w:vAlign w:val="center"/>
          </w:tcPr>
          <w:p w14:paraId="198B689A">
            <w:pPr>
              <w:autoSpaceDE w:val="0"/>
              <w:autoSpaceDN w:val="0"/>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评  分  细  则</w:t>
            </w:r>
          </w:p>
        </w:tc>
        <w:tc>
          <w:tcPr>
            <w:tcW w:w="569" w:type="dxa"/>
            <w:tcBorders>
              <w:tl2br w:val="nil"/>
              <w:tr2bl w:val="nil"/>
            </w:tcBorders>
            <w:shd w:val="clear" w:color="auto" w:fill="8496B0" w:themeFill="text2" w:themeFillTint="99"/>
            <w:vAlign w:val="center"/>
          </w:tcPr>
          <w:p w14:paraId="3D79A77E">
            <w:pPr>
              <w:autoSpaceDE w:val="0"/>
              <w:autoSpaceDN w:val="0"/>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分值</w:t>
            </w:r>
          </w:p>
        </w:tc>
      </w:tr>
      <w:tr w14:paraId="5E0DE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tcBorders>
              <w:tl2br w:val="nil"/>
              <w:tr2bl w:val="nil"/>
            </w:tcBorders>
            <w:vAlign w:val="center"/>
          </w:tcPr>
          <w:p w14:paraId="31994AEA">
            <w:pPr>
              <w:autoSpaceDE w:val="0"/>
              <w:autoSpaceDN w:val="0"/>
              <w:adjustRightInd w:val="0"/>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sz w:val="21"/>
                <w:szCs w:val="21"/>
                <w:lang w:val="zh-CN" w:bidi="zh-CN"/>
              </w:rPr>
              <w:t>价格</w:t>
            </w:r>
          </w:p>
          <w:p w14:paraId="4BCD888A">
            <w:pPr>
              <w:pStyle w:val="2"/>
              <w:spacing w:line="360" w:lineRule="auto"/>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bidi="zh-CN"/>
              </w:rPr>
              <w:t>（</w:t>
            </w:r>
            <w:r>
              <w:rPr>
                <w:rFonts w:hint="eastAsia" w:asciiTheme="minorEastAsia" w:hAnsiTheme="minorEastAsia" w:eastAsiaTheme="minorEastAsia" w:cstheme="minorEastAsia"/>
                <w:sz w:val="21"/>
                <w:szCs w:val="21"/>
                <w:lang w:val="en-US" w:bidi="zh-CN"/>
              </w:rPr>
              <w:t>11分</w:t>
            </w:r>
            <w:r>
              <w:rPr>
                <w:rFonts w:hint="eastAsia" w:asciiTheme="minorEastAsia" w:hAnsiTheme="minorEastAsia" w:eastAsiaTheme="minorEastAsia" w:cstheme="minorEastAsia"/>
                <w:sz w:val="21"/>
                <w:szCs w:val="21"/>
                <w:lang w:val="zh-CN" w:bidi="zh-CN"/>
              </w:rPr>
              <w:t>）</w:t>
            </w:r>
          </w:p>
        </w:tc>
        <w:tc>
          <w:tcPr>
            <w:tcW w:w="930" w:type="dxa"/>
            <w:tcBorders>
              <w:tl2br w:val="nil"/>
              <w:tr2bl w:val="nil"/>
            </w:tcBorders>
            <w:vAlign w:val="center"/>
          </w:tcPr>
          <w:p w14:paraId="4F5D8485">
            <w:pPr>
              <w:autoSpaceDE w:val="0"/>
              <w:autoSpaceDN w:val="0"/>
              <w:adjustRightInd w:val="0"/>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sz w:val="21"/>
                <w:szCs w:val="21"/>
                <w:lang w:val="zh-CN" w:bidi="zh-CN"/>
              </w:rPr>
              <w:t>价格分</w:t>
            </w:r>
          </w:p>
        </w:tc>
        <w:tc>
          <w:tcPr>
            <w:tcW w:w="6568" w:type="dxa"/>
            <w:tcBorders>
              <w:tl2br w:val="nil"/>
              <w:tr2bl w:val="nil"/>
            </w:tcBorders>
            <w:vAlign w:val="center"/>
          </w:tcPr>
          <w:p w14:paraId="1220649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价格分采用低价优先法计算，即满足</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文件要求且</w:t>
            </w:r>
            <w:r>
              <w:rPr>
                <w:rFonts w:hint="eastAsia" w:asciiTheme="minorEastAsia" w:hAnsiTheme="minorEastAsia" w:eastAsiaTheme="minorEastAsia" w:cstheme="minorEastAsia"/>
                <w:sz w:val="21"/>
                <w:szCs w:val="21"/>
                <w:lang w:eastAsia="zh-CN"/>
              </w:rPr>
              <w:t>最终</w:t>
            </w: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eastAsia="zh-CN"/>
              </w:rPr>
              <w:t>单价</w:t>
            </w:r>
            <w:r>
              <w:rPr>
                <w:rFonts w:hint="eastAsia" w:asciiTheme="minorEastAsia" w:hAnsiTheme="minorEastAsia" w:eastAsiaTheme="minorEastAsia" w:cstheme="minorEastAsia"/>
                <w:sz w:val="21"/>
                <w:szCs w:val="21"/>
              </w:rPr>
              <w:t>最低的供应商的价格为</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基准价，其价格分为满分。其他供应商的价格分统一按下列公式计算</w:t>
            </w:r>
            <w:r>
              <w:rPr>
                <w:rFonts w:hint="eastAsia" w:asciiTheme="minorEastAsia" w:hAnsiTheme="minorEastAsia" w:eastAsiaTheme="minorEastAsia" w:cstheme="minorEastAsia"/>
                <w:sz w:val="21"/>
                <w:szCs w:val="21"/>
                <w:lang w:eastAsia="zh-CN"/>
              </w:rPr>
              <w:t>，计算结果保留至小数点后两位。</w:t>
            </w:r>
          </w:p>
          <w:p w14:paraId="13DBC5D3">
            <w:pPr>
              <w:pStyle w:val="2"/>
              <w:spacing w:after="0"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rPr>
              <w:t>基准价/</w:t>
            </w:r>
            <w:r>
              <w:rPr>
                <w:rFonts w:hint="eastAsia" w:asciiTheme="minorEastAsia" w:hAnsiTheme="minorEastAsia" w:eastAsiaTheme="minorEastAsia" w:cstheme="minorEastAsia"/>
                <w:sz w:val="21"/>
                <w:szCs w:val="21"/>
                <w:lang w:val="en-US" w:eastAsia="zh-CN"/>
              </w:rPr>
              <w:t>最后</w:t>
            </w: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val="en-US" w:eastAsia="zh-CN"/>
              </w:rPr>
              <w:t>11</w:t>
            </w:r>
          </w:p>
        </w:tc>
        <w:tc>
          <w:tcPr>
            <w:tcW w:w="569" w:type="dxa"/>
            <w:tcBorders>
              <w:tl2br w:val="nil"/>
              <w:tr2bl w:val="nil"/>
            </w:tcBorders>
            <w:vAlign w:val="center"/>
          </w:tcPr>
          <w:p w14:paraId="107975D0">
            <w:pPr>
              <w:autoSpaceDE w:val="0"/>
              <w:autoSpaceDN w:val="0"/>
              <w:adjustRightInd w:val="0"/>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sz w:val="21"/>
                <w:szCs w:val="21"/>
                <w:lang w:val="en-US" w:bidi="zh-CN"/>
              </w:rPr>
              <w:t>11</w:t>
            </w:r>
            <w:r>
              <w:rPr>
                <w:rFonts w:hint="eastAsia" w:asciiTheme="minorEastAsia" w:hAnsiTheme="minorEastAsia" w:eastAsiaTheme="minorEastAsia" w:cstheme="minorEastAsia"/>
                <w:sz w:val="21"/>
                <w:szCs w:val="21"/>
                <w:lang w:val="zh-CN" w:bidi="zh-CN"/>
              </w:rPr>
              <w:t>分</w:t>
            </w:r>
          </w:p>
        </w:tc>
      </w:tr>
      <w:tr w14:paraId="105F9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restart"/>
            <w:tcBorders>
              <w:tl2br w:val="nil"/>
              <w:tr2bl w:val="nil"/>
            </w:tcBorders>
            <w:vAlign w:val="center"/>
          </w:tcPr>
          <w:p w14:paraId="1F419F4F">
            <w:pPr>
              <w:autoSpaceDE w:val="0"/>
              <w:autoSpaceDN w:val="0"/>
              <w:adjustRightIn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w:t>
            </w:r>
          </w:p>
          <w:p w14:paraId="3D560141">
            <w:pPr>
              <w:pStyle w:val="2"/>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16分</w:t>
            </w:r>
            <w:r>
              <w:rPr>
                <w:rFonts w:hint="eastAsia" w:asciiTheme="minorEastAsia" w:hAnsiTheme="minorEastAsia" w:eastAsiaTheme="minorEastAsia" w:cstheme="minorEastAsia"/>
                <w:kern w:val="0"/>
                <w:sz w:val="21"/>
                <w:szCs w:val="21"/>
                <w:lang w:eastAsia="zh-CN"/>
              </w:rPr>
              <w:t>）</w:t>
            </w:r>
          </w:p>
        </w:tc>
        <w:tc>
          <w:tcPr>
            <w:tcW w:w="930" w:type="dxa"/>
            <w:tcBorders>
              <w:tl2br w:val="nil"/>
              <w:tr2bl w:val="nil"/>
            </w:tcBorders>
            <w:vAlign w:val="center"/>
          </w:tcPr>
          <w:p w14:paraId="1407B8A7">
            <w:pPr>
              <w:widowControl/>
              <w:autoSpaceDE w:val="0"/>
              <w:autoSpaceDN w:val="0"/>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sz w:val="21"/>
                <w:szCs w:val="21"/>
                <w:lang w:val="zh-CN" w:bidi="zh-CN"/>
              </w:rPr>
              <w:t>基本要求</w:t>
            </w:r>
          </w:p>
        </w:tc>
        <w:tc>
          <w:tcPr>
            <w:tcW w:w="7137" w:type="dxa"/>
            <w:gridSpan w:val="2"/>
            <w:tcBorders>
              <w:tl2br w:val="nil"/>
              <w:tr2bl w:val="nil"/>
            </w:tcBorders>
            <w:vAlign w:val="center"/>
          </w:tcPr>
          <w:p w14:paraId="48F0512B">
            <w:pPr>
              <w:spacing w:line="360" w:lineRule="auto"/>
              <w:jc w:val="lef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0"/>
                <w:sz w:val="21"/>
                <w:szCs w:val="21"/>
                <w:lang w:val="en-US" w:eastAsia="zh-CN"/>
              </w:rPr>
              <w:t>供应商</w:t>
            </w:r>
            <w:r>
              <w:rPr>
                <w:rFonts w:hint="eastAsia" w:asciiTheme="minorEastAsia" w:hAnsiTheme="minorEastAsia" w:eastAsiaTheme="minorEastAsia" w:cstheme="minorEastAsia"/>
                <w:kern w:val="0"/>
                <w:sz w:val="21"/>
                <w:szCs w:val="21"/>
              </w:rPr>
              <w:t>必须完全响应基本</w:t>
            </w:r>
            <w:r>
              <w:rPr>
                <w:rFonts w:hint="eastAsia" w:asciiTheme="minorEastAsia" w:hAnsiTheme="minorEastAsia" w:eastAsiaTheme="minorEastAsia" w:cstheme="minorEastAsia"/>
                <w:kern w:val="0"/>
                <w:sz w:val="21"/>
                <w:szCs w:val="21"/>
                <w:lang w:eastAsia="zh-CN"/>
              </w:rPr>
              <w:t>服务</w:t>
            </w:r>
            <w:r>
              <w:rPr>
                <w:rFonts w:hint="eastAsia" w:asciiTheme="minorEastAsia" w:hAnsiTheme="minorEastAsia" w:eastAsiaTheme="minorEastAsia" w:cstheme="minorEastAsia"/>
                <w:kern w:val="0"/>
                <w:sz w:val="21"/>
                <w:szCs w:val="21"/>
              </w:rPr>
              <w:t>要求，否则</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无效。</w:t>
            </w:r>
          </w:p>
          <w:p w14:paraId="17D1407A">
            <w:pPr>
              <w:widowControl/>
              <w:autoSpaceDE w:val="0"/>
              <w:autoSpaceDN w:val="0"/>
              <w:spacing w:line="360" w:lineRule="auto"/>
              <w:jc w:val="left"/>
              <w:rPr>
                <w:rFonts w:hint="eastAsia" w:asciiTheme="minorEastAsia" w:hAnsiTheme="minorEastAsia" w:eastAsiaTheme="minorEastAsia" w:cstheme="minorEastAsia"/>
                <w:b/>
                <w:sz w:val="21"/>
                <w:szCs w:val="21"/>
                <w:lang w:val="en-US" w:bidi="zh-CN"/>
              </w:rPr>
            </w:pPr>
            <w:r>
              <w:rPr>
                <w:rFonts w:hint="eastAsia" w:asciiTheme="minorEastAsia" w:hAnsiTheme="minorEastAsia" w:eastAsiaTheme="minorEastAsia" w:cstheme="minorEastAsia"/>
                <w:b/>
                <w:bCs/>
                <w:kern w:val="0"/>
                <w:sz w:val="21"/>
                <w:szCs w:val="21"/>
              </w:rPr>
              <w:t>评审依据：提供</w:t>
            </w:r>
            <w:r>
              <w:rPr>
                <w:rFonts w:hint="eastAsia" w:asciiTheme="minorEastAsia" w:hAnsiTheme="minorEastAsia" w:eastAsiaTheme="minorEastAsia" w:cstheme="minorEastAsia"/>
                <w:b/>
                <w:bCs/>
                <w:kern w:val="0"/>
                <w:sz w:val="21"/>
                <w:szCs w:val="21"/>
                <w:lang w:eastAsia="zh-CN"/>
              </w:rPr>
              <w:t>服务</w:t>
            </w:r>
            <w:r>
              <w:rPr>
                <w:rFonts w:hint="eastAsia" w:asciiTheme="minorEastAsia" w:hAnsiTheme="minorEastAsia" w:eastAsiaTheme="minorEastAsia" w:cstheme="minorEastAsia"/>
                <w:b/>
                <w:bCs/>
                <w:kern w:val="0"/>
                <w:sz w:val="21"/>
                <w:szCs w:val="21"/>
              </w:rPr>
              <w:t>响应/偏离表。</w:t>
            </w:r>
          </w:p>
        </w:tc>
      </w:tr>
      <w:tr w14:paraId="782668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2A57CE2F">
            <w:pPr>
              <w:autoSpaceDE w:val="0"/>
              <w:autoSpaceDN w:val="0"/>
              <w:adjustRightInd w:val="0"/>
              <w:spacing w:line="360" w:lineRule="auto"/>
              <w:jc w:val="center"/>
              <w:rPr>
                <w:rFonts w:hint="eastAsia" w:asciiTheme="minorEastAsia" w:hAnsiTheme="minorEastAsia" w:eastAsiaTheme="minorEastAsia" w:cstheme="minorEastAsia"/>
                <w:kern w:val="0"/>
                <w:sz w:val="21"/>
                <w:szCs w:val="21"/>
              </w:rPr>
            </w:pPr>
          </w:p>
        </w:tc>
        <w:tc>
          <w:tcPr>
            <w:tcW w:w="930" w:type="dxa"/>
            <w:tcBorders>
              <w:tl2br w:val="nil"/>
              <w:tr2bl w:val="nil"/>
            </w:tcBorders>
            <w:vAlign w:val="center"/>
          </w:tcPr>
          <w:p w14:paraId="38979698">
            <w:pPr>
              <w:spacing w:line="360" w:lineRule="auto"/>
              <w:jc w:val="both"/>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b w:val="0"/>
                <w:bCs w:val="0"/>
                <w:kern w:val="0"/>
                <w:sz w:val="21"/>
                <w:szCs w:val="21"/>
              </w:rPr>
              <w:t>服务方案</w:t>
            </w:r>
          </w:p>
        </w:tc>
        <w:tc>
          <w:tcPr>
            <w:tcW w:w="6568" w:type="dxa"/>
            <w:tcBorders>
              <w:tl2br w:val="nil"/>
              <w:tr2bl w:val="nil"/>
            </w:tcBorders>
            <w:vAlign w:val="center"/>
          </w:tcPr>
          <w:p w14:paraId="004F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w:t>
            </w:r>
            <w:r>
              <w:rPr>
                <w:rFonts w:hint="eastAsia" w:asciiTheme="minorEastAsia" w:hAnsiTheme="minorEastAsia" w:eastAsiaTheme="minorEastAsia" w:cstheme="minorEastAsia"/>
                <w:color w:val="000000"/>
                <w:sz w:val="21"/>
                <w:szCs w:val="21"/>
                <w:lang w:eastAsia="zh-CN"/>
              </w:rPr>
              <w:t>针对本项目需求</w:t>
            </w:r>
            <w:r>
              <w:rPr>
                <w:rFonts w:hint="eastAsia" w:asciiTheme="minorEastAsia" w:hAnsiTheme="minorEastAsia" w:eastAsiaTheme="minorEastAsia" w:cstheme="minorEastAsia"/>
                <w:color w:val="000000"/>
                <w:sz w:val="21"/>
                <w:szCs w:val="21"/>
              </w:rPr>
              <w:t>提供服务方案，</w:t>
            </w:r>
            <w:r>
              <w:rPr>
                <w:rFonts w:hint="eastAsia" w:asciiTheme="minorEastAsia" w:hAnsiTheme="minorEastAsia" w:eastAsiaTheme="minorEastAsia" w:cstheme="minorEastAsia"/>
                <w:color w:val="000000"/>
                <w:sz w:val="21"/>
                <w:szCs w:val="21"/>
                <w:lang w:val="en-US" w:eastAsia="zh-CN"/>
              </w:rPr>
              <w:t>方案</w:t>
            </w:r>
            <w:r>
              <w:rPr>
                <w:rFonts w:hint="eastAsia" w:asciiTheme="minorEastAsia" w:hAnsiTheme="minorEastAsia" w:eastAsiaTheme="minorEastAsia" w:cstheme="minorEastAsia"/>
                <w:color w:val="000000"/>
                <w:sz w:val="21"/>
                <w:szCs w:val="21"/>
              </w:rPr>
              <w:t>内容包括但不限于：</w:t>
            </w:r>
          </w:p>
          <w:p w14:paraId="04C7D7B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
                <w:bCs/>
                <w:color w:val="000000"/>
                <w:sz w:val="21"/>
                <w:szCs w:val="21"/>
              </w:rPr>
              <w:t>服务能力</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加1分</w:t>
            </w:r>
            <w:r>
              <w:rPr>
                <w:rFonts w:hint="eastAsia" w:asciiTheme="minorEastAsia" w:hAnsiTheme="minorEastAsia" w:eastAsiaTheme="minorEastAsia" w:cstheme="minorEastAsia"/>
                <w:color w:val="000000"/>
                <w:sz w:val="21"/>
                <w:szCs w:val="21"/>
                <w:lang w:eastAsia="zh-CN"/>
              </w:rPr>
              <w:t>；</w:t>
            </w:r>
            <w:r>
              <w:rPr>
                <w:rFonts w:hint="eastAsia" w:ascii="宋体" w:hAnsi="宋体" w:eastAsia="宋体" w:cs="宋体"/>
                <w:color w:val="auto"/>
                <w:sz w:val="21"/>
                <w:szCs w:val="21"/>
                <w:highlight w:val="none"/>
                <w:lang w:val="en-US" w:eastAsia="zh-CN"/>
              </w:rPr>
              <w:t>在此基础上，方案内容</w:t>
            </w:r>
            <w:r>
              <w:rPr>
                <w:rFonts w:hint="eastAsia" w:ascii="宋体" w:hAnsi="宋体" w:cs="宋体"/>
                <w:color w:val="auto"/>
                <w:sz w:val="21"/>
                <w:szCs w:val="21"/>
                <w:highlight w:val="none"/>
                <w:lang w:val="en-US" w:eastAsia="zh-CN"/>
              </w:rPr>
              <w:t>体现</w:t>
            </w:r>
            <w:r>
              <w:rPr>
                <w:rFonts w:hint="eastAsia" w:asciiTheme="minorEastAsia" w:hAnsiTheme="minorEastAsia" w:eastAsiaTheme="minorEastAsia" w:cstheme="minorEastAsia"/>
                <w:color w:val="000000"/>
                <w:sz w:val="21"/>
                <w:szCs w:val="21"/>
              </w:rPr>
              <w:t>公司实力、业绩、导游配备、服务承诺</w:t>
            </w:r>
            <w:r>
              <w:rPr>
                <w:rFonts w:hint="eastAsia" w:asciiTheme="minorEastAsia" w:hAnsiTheme="minorEastAsia" w:eastAsiaTheme="minorEastAsia" w:cstheme="minorEastAsia"/>
                <w:color w:val="000000"/>
                <w:sz w:val="21"/>
                <w:szCs w:val="21"/>
                <w:lang w:val="en-US" w:eastAsia="zh-CN"/>
              </w:rPr>
              <w:t>有效</w:t>
            </w:r>
            <w:r>
              <w:rPr>
                <w:rFonts w:hint="eastAsia" w:asciiTheme="minorEastAsia" w:hAnsiTheme="minorEastAsia" w:eastAsiaTheme="minorEastAsia" w:cstheme="minorEastAsia"/>
                <w:color w:val="000000"/>
                <w:sz w:val="21"/>
                <w:szCs w:val="21"/>
              </w:rPr>
              <w:t>、应急处理</w:t>
            </w:r>
            <w:r>
              <w:rPr>
                <w:rFonts w:hint="eastAsia" w:asciiTheme="minorEastAsia" w:hAnsiTheme="minorEastAsia" w:eastAsiaTheme="minorEastAsia" w:cstheme="minorEastAsia"/>
                <w:color w:val="000000"/>
                <w:sz w:val="21"/>
                <w:szCs w:val="21"/>
                <w:lang w:val="en-US" w:eastAsia="zh-CN"/>
              </w:rPr>
              <w:t>及时等，加1分。</w:t>
            </w:r>
          </w:p>
          <w:p w14:paraId="2F1B59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b/>
                <w:bCs/>
                <w:color w:val="000000"/>
                <w:sz w:val="21"/>
                <w:szCs w:val="21"/>
              </w:rPr>
              <w:t>行程规划</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加1分</w:t>
            </w:r>
            <w:r>
              <w:rPr>
                <w:rFonts w:hint="eastAsia" w:asciiTheme="minorEastAsia" w:hAnsiTheme="minorEastAsia" w:eastAsiaTheme="minorEastAsia" w:cstheme="minorEastAsia"/>
                <w:color w:val="000000"/>
                <w:sz w:val="21"/>
                <w:szCs w:val="21"/>
                <w:lang w:eastAsia="zh-CN"/>
              </w:rPr>
              <w:t>；</w:t>
            </w:r>
            <w:r>
              <w:rPr>
                <w:rFonts w:hint="eastAsia" w:ascii="宋体" w:hAnsi="宋体" w:eastAsia="宋体" w:cs="宋体"/>
                <w:color w:val="auto"/>
                <w:sz w:val="21"/>
                <w:szCs w:val="21"/>
                <w:highlight w:val="none"/>
                <w:lang w:val="en-US" w:eastAsia="zh-CN"/>
              </w:rPr>
              <w:t>在此基础上，方案内容</w:t>
            </w:r>
            <w:r>
              <w:rPr>
                <w:rFonts w:hint="eastAsia" w:ascii="宋体" w:hAnsi="宋体" w:cs="宋体"/>
                <w:color w:val="auto"/>
                <w:sz w:val="21"/>
                <w:szCs w:val="21"/>
                <w:highlight w:val="none"/>
                <w:lang w:val="en-US" w:eastAsia="zh-CN"/>
              </w:rPr>
              <w:t>体现</w:t>
            </w:r>
            <w:r>
              <w:rPr>
                <w:rFonts w:hint="eastAsia" w:asciiTheme="minorEastAsia" w:hAnsiTheme="minorEastAsia" w:eastAsiaTheme="minorEastAsia" w:cstheme="minorEastAsia"/>
                <w:color w:val="000000"/>
                <w:sz w:val="21"/>
                <w:szCs w:val="21"/>
              </w:rPr>
              <w:t>行程安排合理性、紧凑性，景点热门与独特性，活动的多样性与体验的丰富性</w:t>
            </w:r>
            <w:r>
              <w:rPr>
                <w:rFonts w:hint="eastAsia" w:asciiTheme="minorEastAsia" w:hAnsiTheme="minorEastAsia" w:eastAsiaTheme="minorEastAsia" w:cstheme="minorEastAsia"/>
                <w:color w:val="000000"/>
                <w:sz w:val="21"/>
                <w:szCs w:val="21"/>
                <w:lang w:val="en-US" w:eastAsia="zh-CN"/>
              </w:rPr>
              <w:t>等，加1分。</w:t>
            </w:r>
          </w:p>
          <w:p w14:paraId="5980A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b/>
                <w:bCs/>
                <w:color w:val="000000"/>
                <w:sz w:val="21"/>
                <w:szCs w:val="21"/>
              </w:rPr>
              <w:t>餐饮标准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加1分</w:t>
            </w:r>
            <w:r>
              <w:rPr>
                <w:rFonts w:hint="eastAsia" w:asciiTheme="minorEastAsia" w:hAnsiTheme="minorEastAsia" w:eastAsiaTheme="minorEastAsia" w:cstheme="minorEastAsia"/>
                <w:color w:val="000000"/>
                <w:sz w:val="21"/>
                <w:szCs w:val="21"/>
                <w:lang w:eastAsia="zh-CN"/>
              </w:rPr>
              <w:t>；</w:t>
            </w:r>
            <w:r>
              <w:rPr>
                <w:rFonts w:hint="eastAsia" w:ascii="宋体" w:hAnsi="宋体" w:eastAsia="宋体" w:cs="宋体"/>
                <w:color w:val="auto"/>
                <w:sz w:val="21"/>
                <w:szCs w:val="21"/>
                <w:highlight w:val="none"/>
                <w:lang w:val="en-US" w:eastAsia="zh-CN"/>
              </w:rPr>
              <w:t>在此基础上，方案内容</w:t>
            </w:r>
            <w:r>
              <w:rPr>
                <w:rFonts w:hint="eastAsia" w:ascii="宋体" w:hAnsi="宋体" w:cs="宋体"/>
                <w:color w:val="auto"/>
                <w:sz w:val="21"/>
                <w:szCs w:val="21"/>
                <w:highlight w:val="none"/>
                <w:lang w:val="en-US" w:eastAsia="zh-CN"/>
              </w:rPr>
              <w:t>体现</w:t>
            </w:r>
            <w:r>
              <w:rPr>
                <w:rFonts w:hint="eastAsia" w:asciiTheme="minorEastAsia" w:hAnsiTheme="minorEastAsia" w:eastAsiaTheme="minorEastAsia" w:cstheme="minorEastAsia"/>
                <w:color w:val="000000"/>
                <w:sz w:val="21"/>
                <w:szCs w:val="21"/>
              </w:rPr>
              <w:t>餐饮定价标准、菜品质量、</w:t>
            </w:r>
            <w:r>
              <w:rPr>
                <w:rFonts w:hint="eastAsia" w:asciiTheme="minorEastAsia" w:hAnsiTheme="minorEastAsia" w:eastAsiaTheme="minorEastAsia" w:cstheme="minorEastAsia"/>
                <w:color w:val="000000"/>
                <w:sz w:val="21"/>
                <w:szCs w:val="21"/>
                <w:lang w:val="en-US" w:eastAsia="zh-CN"/>
              </w:rPr>
              <w:t>搭配丰富、</w:t>
            </w:r>
            <w:r>
              <w:rPr>
                <w:rFonts w:hint="eastAsia" w:asciiTheme="minorEastAsia" w:hAnsiTheme="minorEastAsia" w:eastAsiaTheme="minorEastAsia" w:cstheme="minorEastAsia"/>
                <w:color w:val="000000"/>
                <w:sz w:val="21"/>
                <w:szCs w:val="21"/>
              </w:rPr>
              <w:t>服务态度评分好</w:t>
            </w:r>
            <w:r>
              <w:rPr>
                <w:rFonts w:hint="eastAsia" w:asciiTheme="minorEastAsia" w:hAnsiTheme="minorEastAsia" w:eastAsiaTheme="minorEastAsia" w:cstheme="minorEastAsia"/>
                <w:color w:val="000000"/>
                <w:sz w:val="21"/>
                <w:szCs w:val="21"/>
                <w:lang w:val="en-US" w:eastAsia="zh-CN"/>
              </w:rPr>
              <w:t>，加1分。</w:t>
            </w:r>
          </w:p>
          <w:p w14:paraId="0869E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b/>
                <w:bCs/>
                <w:color w:val="000000"/>
                <w:sz w:val="21"/>
                <w:szCs w:val="21"/>
              </w:rPr>
              <w:t>交通安全</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加1分</w:t>
            </w:r>
            <w:r>
              <w:rPr>
                <w:rFonts w:hint="eastAsia" w:asciiTheme="minorEastAsia" w:hAnsiTheme="minorEastAsia" w:eastAsiaTheme="minorEastAsia" w:cstheme="minorEastAsia"/>
                <w:color w:val="000000"/>
                <w:sz w:val="21"/>
                <w:szCs w:val="21"/>
                <w:lang w:eastAsia="zh-CN"/>
              </w:rPr>
              <w:t>；</w:t>
            </w:r>
            <w:r>
              <w:rPr>
                <w:rFonts w:hint="eastAsia" w:ascii="宋体" w:hAnsi="宋体" w:eastAsia="宋体" w:cs="宋体"/>
                <w:color w:val="auto"/>
                <w:sz w:val="21"/>
                <w:szCs w:val="21"/>
                <w:highlight w:val="none"/>
                <w:lang w:val="en-US" w:eastAsia="zh-CN"/>
              </w:rPr>
              <w:t>在此基础上，方案内容</w:t>
            </w:r>
            <w:r>
              <w:rPr>
                <w:rFonts w:hint="eastAsia" w:ascii="宋体" w:hAnsi="宋体" w:cs="宋体"/>
                <w:color w:val="auto"/>
                <w:sz w:val="21"/>
                <w:szCs w:val="21"/>
                <w:highlight w:val="none"/>
                <w:lang w:val="en-US" w:eastAsia="zh-CN"/>
              </w:rPr>
              <w:t>体现</w:t>
            </w:r>
            <w:r>
              <w:rPr>
                <w:rFonts w:hint="eastAsia" w:asciiTheme="minorEastAsia" w:hAnsiTheme="minorEastAsia" w:eastAsiaTheme="minorEastAsia" w:cstheme="minorEastAsia"/>
                <w:color w:val="000000"/>
                <w:sz w:val="21"/>
                <w:szCs w:val="21"/>
                <w:lang w:val="en-US" w:eastAsia="zh-CN"/>
              </w:rPr>
              <w:t>车</w:t>
            </w:r>
            <w:r>
              <w:rPr>
                <w:rFonts w:hint="eastAsia" w:asciiTheme="minorEastAsia" w:hAnsiTheme="minorEastAsia" w:eastAsiaTheme="minorEastAsia" w:cstheme="minorEastAsia"/>
                <w:color w:val="000000"/>
                <w:sz w:val="21"/>
                <w:szCs w:val="21"/>
              </w:rPr>
              <w:t>辆安排、车龄状况、司机技术等</w:t>
            </w:r>
            <w:r>
              <w:rPr>
                <w:rFonts w:hint="eastAsia" w:asciiTheme="minorEastAsia" w:hAnsiTheme="minorEastAsia" w:eastAsiaTheme="minorEastAsia" w:cstheme="minorEastAsia"/>
                <w:color w:val="000000"/>
                <w:sz w:val="21"/>
                <w:szCs w:val="21"/>
                <w:lang w:val="en-US" w:eastAsia="zh-CN"/>
              </w:rPr>
              <w:t>，加1分。</w:t>
            </w:r>
          </w:p>
          <w:p w14:paraId="534B3C94">
            <w:pPr>
              <w:pStyle w:val="4"/>
              <w:keepNext w:val="0"/>
              <w:keepLines w:val="0"/>
              <w:pageBreakBefore w:val="0"/>
              <w:numPr>
                <w:ilvl w:val="0"/>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lang w:val="en-US" w:eastAsia="zh-CN"/>
              </w:rPr>
            </w:pPr>
            <w:r>
              <w:rPr>
                <w:rFonts w:hint="eastAsia" w:ascii="宋体" w:hAnsi="宋体" w:eastAsia="宋体" w:cs="宋体"/>
                <w:color w:val="auto"/>
                <w:sz w:val="21"/>
                <w:szCs w:val="21"/>
                <w:highlight w:val="none"/>
                <w:lang w:val="en-US" w:eastAsia="zh-CN"/>
              </w:rPr>
              <w:t>本项最高得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分，未提供或提供的方案与本项目无关的不得分。</w:t>
            </w:r>
          </w:p>
          <w:p w14:paraId="7A018FD9">
            <w:pPr>
              <w:pStyle w:val="4"/>
              <w:keepNext w:val="0"/>
              <w:keepLines w:val="0"/>
              <w:pageBreakBefore w:val="0"/>
              <w:kinsoku/>
              <w:wordWrap/>
              <w:overflowPunct/>
              <w:topLinePunct w:val="0"/>
              <w:autoSpaceDE/>
              <w:autoSpaceDN/>
              <w:bidi w:val="0"/>
              <w:spacing w:after="0" w:line="360" w:lineRule="auto"/>
              <w:ind w:firstLine="0" w:firstLineChars="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rPr>
              <w:t>评审依据：响应文件中提</w:t>
            </w:r>
            <w:r>
              <w:rPr>
                <w:rFonts w:hint="eastAsia" w:asciiTheme="minorEastAsia" w:hAnsiTheme="minorEastAsia" w:eastAsiaTheme="minorEastAsia" w:cstheme="minorEastAsia"/>
                <w:b/>
                <w:bCs/>
                <w:sz w:val="21"/>
                <w:szCs w:val="21"/>
                <w:highlight w:val="none"/>
              </w:rPr>
              <w:t>供服务方案</w:t>
            </w:r>
            <w:r>
              <w:rPr>
                <w:rFonts w:hint="eastAsia" w:asciiTheme="minorEastAsia" w:hAnsiTheme="minorEastAsia" w:eastAsiaTheme="minorEastAsia" w:cstheme="minorEastAsia"/>
                <w:b/>
                <w:bCs/>
                <w:sz w:val="21"/>
                <w:szCs w:val="21"/>
                <w:lang w:eastAsia="zh-CN"/>
              </w:rPr>
              <w:t>并</w:t>
            </w:r>
            <w:r>
              <w:rPr>
                <w:rFonts w:hint="eastAsia" w:asciiTheme="minorEastAsia" w:hAnsiTheme="minorEastAsia" w:eastAsiaTheme="minorEastAsia" w:cstheme="minorEastAsia"/>
                <w:b/>
                <w:bCs/>
                <w:sz w:val="21"/>
                <w:szCs w:val="21"/>
                <w:highlight w:val="none"/>
              </w:rPr>
              <w:t>加盖供应商公章</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lang w:val="en-US" w:eastAsia="zh-CN"/>
              </w:rPr>
              <w:t>注：服务方案将作为合同履约验收依据，否则视为虚假响应处理</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w:t>
            </w:r>
          </w:p>
        </w:tc>
        <w:tc>
          <w:tcPr>
            <w:tcW w:w="569" w:type="dxa"/>
            <w:tcBorders>
              <w:tl2br w:val="nil"/>
              <w:tr2bl w:val="nil"/>
            </w:tcBorders>
            <w:vAlign w:val="center"/>
          </w:tcPr>
          <w:p w14:paraId="5ED489AD">
            <w:pPr>
              <w:widowControl/>
              <w:autoSpaceDE w:val="0"/>
              <w:autoSpaceDN w:val="0"/>
              <w:spacing w:line="360" w:lineRule="auto"/>
              <w:jc w:val="center"/>
              <w:rPr>
                <w:rFonts w:hint="eastAsia" w:asciiTheme="minorEastAsia" w:hAnsiTheme="minorEastAsia" w:eastAsiaTheme="minorEastAsia" w:cstheme="minorEastAsia"/>
                <w:b/>
                <w:sz w:val="21"/>
                <w:szCs w:val="21"/>
                <w:lang w:val="en-US" w:bidi="zh-CN"/>
              </w:rPr>
            </w:pPr>
            <w:r>
              <w:rPr>
                <w:rFonts w:hint="eastAsia" w:asciiTheme="minorEastAsia" w:hAnsiTheme="minorEastAsia" w:eastAsiaTheme="minorEastAsia" w:cstheme="minorEastAsia"/>
                <w:b w:val="0"/>
                <w:bCs/>
                <w:sz w:val="21"/>
                <w:szCs w:val="21"/>
                <w:lang w:val="en-US" w:bidi="zh-CN"/>
              </w:rPr>
              <w:t>8分</w:t>
            </w:r>
          </w:p>
        </w:tc>
      </w:tr>
      <w:tr w14:paraId="59E03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415BFC7B">
            <w:pPr>
              <w:widowControl/>
              <w:autoSpaceDE w:val="0"/>
              <w:autoSpaceDN w:val="0"/>
              <w:spacing w:line="360" w:lineRule="auto"/>
              <w:jc w:val="center"/>
            </w:pPr>
          </w:p>
        </w:tc>
        <w:tc>
          <w:tcPr>
            <w:tcW w:w="930" w:type="dxa"/>
            <w:tcBorders>
              <w:tl2br w:val="nil"/>
              <w:tr2bl w:val="nil"/>
            </w:tcBorders>
            <w:vAlign w:val="center"/>
          </w:tcPr>
          <w:p w14:paraId="7911A6C9">
            <w:pPr>
              <w:widowControl/>
              <w:autoSpaceDE w:val="0"/>
              <w:autoSpaceDN w:val="0"/>
              <w:spacing w:line="360" w:lineRule="auto"/>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旅游巴士</w:t>
            </w:r>
          </w:p>
        </w:tc>
        <w:tc>
          <w:tcPr>
            <w:tcW w:w="6568" w:type="dxa"/>
            <w:tcBorders>
              <w:tl2br w:val="nil"/>
              <w:tr2bl w:val="nil"/>
            </w:tcBorders>
            <w:vAlign w:val="center"/>
          </w:tcPr>
          <w:p w14:paraId="6F114EA3">
            <w:pPr>
              <w:widowControl/>
              <w:autoSpaceDE w:val="0"/>
              <w:autoSpaceDN w:val="0"/>
              <w:spacing w:line="360" w:lineRule="auto"/>
              <w:jc w:val="left"/>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供应商提供车龄五年内（至开标之日）的旅游巴士得2分，提供车龄三年内（至开标之日）的旅游巴士得4分。</w:t>
            </w:r>
          </w:p>
          <w:p w14:paraId="3C340069">
            <w:pPr>
              <w:pStyle w:val="2"/>
              <w:rPr>
                <w:rFonts w:hint="default"/>
                <w:lang w:val="en-US" w:eastAsia="zh-CN"/>
              </w:rPr>
            </w:pPr>
            <w:r>
              <w:rPr>
                <w:rFonts w:hint="eastAsia" w:asciiTheme="minorEastAsia" w:hAnsiTheme="minorEastAsia" w:eastAsiaTheme="minorEastAsia" w:cstheme="minorEastAsia"/>
                <w:b/>
                <w:bCs/>
                <w:kern w:val="0"/>
                <w:sz w:val="21"/>
                <w:szCs w:val="21"/>
                <w:lang w:val="en-US" w:eastAsia="zh-CN"/>
              </w:rPr>
              <w:t>评审依据：自有车辆的提供行驶证（车辆所有人与供应商一致）；租赁车辆的提供租赁合同和行驶证（车辆所有人与出租人一致）。</w:t>
            </w:r>
          </w:p>
        </w:tc>
        <w:tc>
          <w:tcPr>
            <w:tcW w:w="569" w:type="dxa"/>
            <w:tcBorders>
              <w:tl2br w:val="nil"/>
              <w:tr2bl w:val="nil"/>
            </w:tcBorders>
            <w:vAlign w:val="center"/>
          </w:tcPr>
          <w:p w14:paraId="301893DD">
            <w:pPr>
              <w:widowControl/>
              <w:autoSpaceDE w:val="0"/>
              <w:autoSpaceDN w:val="0"/>
              <w:spacing w:line="360" w:lineRule="auto"/>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4分</w:t>
            </w:r>
          </w:p>
        </w:tc>
      </w:tr>
      <w:tr w14:paraId="60EBB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2D637174">
            <w:pPr>
              <w:spacing w:line="360" w:lineRule="auto"/>
              <w:jc w:val="left"/>
              <w:rPr>
                <w:rFonts w:hint="eastAsia" w:asciiTheme="minorEastAsia" w:hAnsiTheme="minorEastAsia" w:eastAsiaTheme="minorEastAsia" w:cstheme="minorEastAsia"/>
                <w:b w:val="0"/>
                <w:bCs w:val="0"/>
                <w:kern w:val="0"/>
                <w:sz w:val="21"/>
                <w:szCs w:val="21"/>
              </w:rPr>
            </w:pPr>
          </w:p>
        </w:tc>
        <w:tc>
          <w:tcPr>
            <w:tcW w:w="930" w:type="dxa"/>
            <w:tcBorders>
              <w:tl2br w:val="nil"/>
              <w:tr2bl w:val="nil"/>
            </w:tcBorders>
            <w:vAlign w:val="center"/>
          </w:tcPr>
          <w:p w14:paraId="0A33D41C">
            <w:pPr>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color w:val="000000"/>
                <w:sz w:val="21"/>
                <w:szCs w:val="21"/>
                <w:highlight w:val="none"/>
              </w:rPr>
              <w:t>服务保障</w:t>
            </w:r>
          </w:p>
        </w:tc>
        <w:tc>
          <w:tcPr>
            <w:tcW w:w="6568" w:type="dxa"/>
            <w:tcBorders>
              <w:tl2br w:val="nil"/>
              <w:tr2bl w:val="nil"/>
            </w:tcBorders>
            <w:vAlign w:val="center"/>
          </w:tcPr>
          <w:p w14:paraId="7C82E296">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.供应商承诺中餐在满足</w:t>
            </w:r>
            <w:r>
              <w:rPr>
                <w:rFonts w:hint="eastAsia" w:asciiTheme="minorEastAsia" w:hAnsiTheme="minorEastAsia" w:eastAsiaTheme="minorEastAsia" w:cstheme="minorEastAsia"/>
                <w:color w:val="000000"/>
                <w:sz w:val="21"/>
                <w:szCs w:val="21"/>
                <w:lang w:val="en-US" w:eastAsia="zh-CN"/>
              </w:rPr>
              <w:t>40</w:t>
            </w:r>
            <w:r>
              <w:rPr>
                <w:rFonts w:hint="eastAsia" w:asciiTheme="minorEastAsia" w:hAnsiTheme="minorEastAsia" w:eastAsiaTheme="minorEastAsia" w:cstheme="minorEastAsia"/>
                <w:color w:val="000000"/>
                <w:sz w:val="21"/>
                <w:szCs w:val="21"/>
              </w:rPr>
              <w:t>元/人的基础上每增加10元/人的，得1分，本项最高</w:t>
            </w:r>
            <w:r>
              <w:rPr>
                <w:rFonts w:hint="eastAsia" w:asciiTheme="minorEastAsia" w:hAnsiTheme="minorEastAsia" w:eastAsiaTheme="minorEastAsia" w:cstheme="minorEastAsia"/>
                <w:color w:val="000000"/>
                <w:sz w:val="21"/>
                <w:szCs w:val="21"/>
                <w:lang w:val="en-US" w:eastAsia="zh-CN"/>
              </w:rPr>
              <w:t>得2</w:t>
            </w:r>
            <w:r>
              <w:rPr>
                <w:rFonts w:hint="eastAsia" w:asciiTheme="minorEastAsia" w:hAnsiTheme="minorEastAsia" w:eastAsiaTheme="minorEastAsia" w:cstheme="minorEastAsia"/>
                <w:color w:val="000000"/>
                <w:sz w:val="21"/>
                <w:szCs w:val="21"/>
              </w:rPr>
              <w:t>分。</w:t>
            </w:r>
          </w:p>
          <w:p w14:paraId="117B80A8">
            <w:pPr>
              <w:pStyle w:val="4"/>
              <w:keepNext w:val="0"/>
              <w:keepLines w:val="0"/>
              <w:pageBreakBefore w:val="0"/>
              <w:kinsoku/>
              <w:wordWrap/>
              <w:overflowPunct/>
              <w:topLinePunct w:val="0"/>
              <w:autoSpaceDE/>
              <w:autoSpaceDN/>
              <w:bidi w:val="0"/>
              <w:spacing w:after="0" w:line="360" w:lineRule="auto"/>
              <w:ind w:firstLine="0" w:firstLineChars="0"/>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bCs/>
                <w:sz w:val="21"/>
                <w:szCs w:val="21"/>
              </w:rPr>
              <w:t>评审依据：响应文件中提供承诺函（格式自拟）并加盖供应商公章。</w:t>
            </w:r>
          </w:p>
        </w:tc>
        <w:tc>
          <w:tcPr>
            <w:tcW w:w="569" w:type="dxa"/>
            <w:tcBorders>
              <w:tl2br w:val="nil"/>
              <w:tr2bl w:val="nil"/>
            </w:tcBorders>
            <w:vAlign w:val="center"/>
          </w:tcPr>
          <w:p w14:paraId="75F9D3A8">
            <w:pPr>
              <w:spacing w:line="360" w:lineRule="auto"/>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sz w:val="21"/>
                <w:szCs w:val="21"/>
                <w:lang w:val="en-US" w:bidi="zh-CN"/>
              </w:rPr>
              <w:t>2分</w:t>
            </w:r>
          </w:p>
        </w:tc>
      </w:tr>
      <w:tr w14:paraId="71ACE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716BCDCA">
            <w:pPr>
              <w:autoSpaceDE w:val="0"/>
              <w:autoSpaceDN w:val="0"/>
              <w:adjustRightInd w:val="0"/>
              <w:spacing w:line="360" w:lineRule="auto"/>
              <w:jc w:val="center"/>
              <w:rPr>
                <w:rFonts w:hint="eastAsia" w:asciiTheme="minorEastAsia" w:hAnsiTheme="minorEastAsia" w:eastAsiaTheme="minorEastAsia" w:cstheme="minorEastAsia"/>
                <w:kern w:val="0"/>
                <w:sz w:val="21"/>
                <w:szCs w:val="21"/>
              </w:rPr>
            </w:pPr>
          </w:p>
        </w:tc>
        <w:tc>
          <w:tcPr>
            <w:tcW w:w="930" w:type="dxa"/>
            <w:tcBorders>
              <w:tl2br w:val="nil"/>
              <w:tr2bl w:val="nil"/>
            </w:tcBorders>
            <w:vAlign w:val="center"/>
          </w:tcPr>
          <w:p w14:paraId="3DF024D6">
            <w:pPr>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b w:val="0"/>
                <w:bCs w:val="0"/>
                <w:kern w:val="0"/>
                <w:sz w:val="21"/>
                <w:szCs w:val="21"/>
              </w:rPr>
              <w:t>导游服务</w:t>
            </w:r>
          </w:p>
        </w:tc>
        <w:tc>
          <w:tcPr>
            <w:tcW w:w="6568" w:type="dxa"/>
            <w:tcBorders>
              <w:tl2br w:val="nil"/>
              <w:tr2bl w:val="nil"/>
            </w:tcBorders>
            <w:vAlign w:val="top"/>
          </w:tcPr>
          <w:p w14:paraId="6D4671CE">
            <w:pPr>
              <w:pStyle w:val="3"/>
              <w:keepNext w:val="0"/>
              <w:keepLines w:val="0"/>
              <w:pageBreakBefore w:val="0"/>
              <w:kinsoku/>
              <w:wordWrap/>
              <w:overflowPunct/>
              <w:topLinePunct w:val="0"/>
              <w:autoSpaceDE/>
              <w:autoSpaceDN/>
              <w:bidi w:val="0"/>
              <w:spacing w:line="360" w:lineRule="auto"/>
              <w:jc w:val="both"/>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供应商拟派的随车导游服务具有中级导游证书的，每人得1分，具有高级导游证书的，每人得2分，最高得2分。</w:t>
            </w:r>
          </w:p>
          <w:p w14:paraId="705F03A8">
            <w:pPr>
              <w:pStyle w:val="3"/>
              <w:spacing w:line="360" w:lineRule="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kern w:val="0"/>
                <w:sz w:val="21"/>
                <w:szCs w:val="21"/>
                <w:highlight w:val="none"/>
                <w:lang w:val="en-US" w:eastAsia="zh-CN" w:bidi="ar-SA"/>
              </w:rPr>
              <w:t>评审依据：响应文件中提供导游证复印件及旅游监管平台聘用截图并加盖供应商公章，未提供或者提供不符合要求则不得分。</w:t>
            </w:r>
          </w:p>
        </w:tc>
        <w:tc>
          <w:tcPr>
            <w:tcW w:w="569" w:type="dxa"/>
            <w:tcBorders>
              <w:tl2br w:val="nil"/>
              <w:tr2bl w:val="nil"/>
            </w:tcBorders>
            <w:vAlign w:val="center"/>
          </w:tcPr>
          <w:p w14:paraId="7382F5A0">
            <w:pPr>
              <w:widowControl/>
              <w:autoSpaceDE w:val="0"/>
              <w:autoSpaceDN w:val="0"/>
              <w:spacing w:line="360" w:lineRule="auto"/>
              <w:jc w:val="center"/>
              <w:rPr>
                <w:rFonts w:hint="eastAsia" w:asciiTheme="minorEastAsia" w:hAnsiTheme="minorEastAsia" w:eastAsiaTheme="minorEastAsia" w:cstheme="minorEastAsia"/>
                <w:b/>
                <w:sz w:val="21"/>
                <w:szCs w:val="21"/>
                <w:lang w:val="en-US" w:bidi="zh-CN"/>
              </w:rPr>
            </w:pPr>
            <w:r>
              <w:rPr>
                <w:rFonts w:hint="eastAsia" w:asciiTheme="minorEastAsia" w:hAnsiTheme="minorEastAsia" w:eastAsiaTheme="minorEastAsia" w:cstheme="minorEastAsia"/>
                <w:b w:val="0"/>
                <w:bCs/>
                <w:sz w:val="21"/>
                <w:szCs w:val="21"/>
                <w:lang w:val="en-US" w:bidi="zh-CN"/>
              </w:rPr>
              <w:t>2分</w:t>
            </w:r>
          </w:p>
        </w:tc>
      </w:tr>
      <w:tr w14:paraId="4A915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restart"/>
            <w:tcBorders>
              <w:tl2br w:val="nil"/>
              <w:tr2bl w:val="nil"/>
            </w:tcBorders>
            <w:vAlign w:val="center"/>
          </w:tcPr>
          <w:p w14:paraId="25F25648">
            <w:pPr>
              <w:autoSpaceDE w:val="0"/>
              <w:autoSpaceDN w:val="0"/>
              <w:spacing w:line="36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w:t>
            </w:r>
          </w:p>
          <w:p w14:paraId="44EC88CF">
            <w:pPr>
              <w:autoSpaceDE w:val="0"/>
              <w:autoSpaceDN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23</w:t>
            </w:r>
            <w:r>
              <w:rPr>
                <w:rFonts w:hint="eastAsia" w:asciiTheme="minorEastAsia" w:hAnsiTheme="minorEastAsia" w:eastAsiaTheme="minorEastAsia" w:cstheme="minorEastAsia"/>
                <w:sz w:val="21"/>
                <w:szCs w:val="21"/>
                <w:highlight w:val="none"/>
              </w:rPr>
              <w:t>分）</w:t>
            </w:r>
          </w:p>
        </w:tc>
        <w:tc>
          <w:tcPr>
            <w:tcW w:w="930" w:type="dxa"/>
            <w:tcBorders>
              <w:tl2br w:val="nil"/>
              <w:tr2bl w:val="nil"/>
            </w:tcBorders>
            <w:vAlign w:val="center"/>
          </w:tcPr>
          <w:p w14:paraId="0F2B4857">
            <w:pPr>
              <w:widowControl/>
              <w:autoSpaceDE w:val="0"/>
              <w:autoSpaceDN w:val="0"/>
              <w:spacing w:line="360" w:lineRule="auto"/>
              <w:jc w:val="center"/>
              <w:rPr>
                <w:rFonts w:hint="eastAsia" w:asciiTheme="minorEastAsia" w:hAnsiTheme="minorEastAsia" w:eastAsiaTheme="minorEastAsia" w:cstheme="minorEastAsia"/>
                <w:sz w:val="21"/>
                <w:szCs w:val="21"/>
                <w:lang w:val="zh-CN" w:bidi="zh-CN"/>
              </w:rPr>
            </w:pPr>
            <w:r>
              <w:rPr>
                <w:rFonts w:hint="eastAsia" w:asciiTheme="minorEastAsia" w:hAnsiTheme="minorEastAsia" w:eastAsiaTheme="minorEastAsia" w:cstheme="minorEastAsia"/>
                <w:sz w:val="21"/>
                <w:szCs w:val="21"/>
                <w:lang w:val="zh-CN" w:bidi="zh-CN"/>
              </w:rPr>
              <w:t>基本要求</w:t>
            </w:r>
          </w:p>
        </w:tc>
        <w:tc>
          <w:tcPr>
            <w:tcW w:w="7137" w:type="dxa"/>
            <w:gridSpan w:val="2"/>
            <w:tcBorders>
              <w:tl2br w:val="nil"/>
              <w:tr2bl w:val="nil"/>
            </w:tcBorders>
            <w:vAlign w:val="center"/>
          </w:tcPr>
          <w:p w14:paraId="10A9E2B9">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供应商</w:t>
            </w:r>
            <w:r>
              <w:rPr>
                <w:rFonts w:hint="eastAsia" w:asciiTheme="minorEastAsia" w:hAnsiTheme="minorEastAsia" w:eastAsiaTheme="minorEastAsia" w:cstheme="minorEastAsia"/>
                <w:color w:val="000000"/>
                <w:sz w:val="21"/>
                <w:szCs w:val="21"/>
                <w:highlight w:val="none"/>
              </w:rPr>
              <w:t>必须完全响应基本商务要求，否则</w:t>
            </w:r>
            <w:r>
              <w:rPr>
                <w:rFonts w:hint="eastAsia" w:asciiTheme="minorEastAsia" w:hAnsiTheme="minorEastAsia" w:eastAsiaTheme="minorEastAsia" w:cstheme="minorEastAsia"/>
                <w:color w:val="000000"/>
                <w:sz w:val="21"/>
                <w:szCs w:val="21"/>
                <w:highlight w:val="none"/>
                <w:lang w:val="en-US" w:eastAsia="zh-CN"/>
              </w:rPr>
              <w:t>响应</w:t>
            </w:r>
            <w:r>
              <w:rPr>
                <w:rFonts w:hint="eastAsia" w:asciiTheme="minorEastAsia" w:hAnsiTheme="minorEastAsia" w:eastAsiaTheme="minorEastAsia" w:cstheme="minorEastAsia"/>
                <w:color w:val="000000"/>
                <w:sz w:val="21"/>
                <w:szCs w:val="21"/>
                <w:highlight w:val="none"/>
              </w:rPr>
              <w:t>无效。</w:t>
            </w:r>
          </w:p>
          <w:p w14:paraId="058B802B">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b/>
                <w:sz w:val="21"/>
                <w:szCs w:val="21"/>
                <w:lang w:val="en-US" w:bidi="zh-CN"/>
              </w:rPr>
            </w:pPr>
            <w:r>
              <w:rPr>
                <w:rFonts w:hint="eastAsia" w:asciiTheme="minorEastAsia" w:hAnsiTheme="minorEastAsia" w:eastAsiaTheme="minorEastAsia" w:cstheme="minorEastAsia"/>
                <w:b/>
                <w:bCs/>
                <w:color w:val="000000"/>
                <w:sz w:val="21"/>
                <w:szCs w:val="21"/>
                <w:highlight w:val="none"/>
              </w:rPr>
              <w:t>评审依据：提供商务要求响应/偏离表</w:t>
            </w:r>
          </w:p>
        </w:tc>
      </w:tr>
      <w:tr w14:paraId="630D9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0F37513E">
            <w:pPr>
              <w:autoSpaceDE w:val="0"/>
              <w:autoSpaceDN w:val="0"/>
              <w:spacing w:line="360" w:lineRule="auto"/>
              <w:jc w:val="center"/>
              <w:rPr>
                <w:rFonts w:hint="eastAsia" w:asciiTheme="minorEastAsia" w:hAnsiTheme="minorEastAsia" w:eastAsiaTheme="minorEastAsia" w:cstheme="minorEastAsia"/>
                <w:sz w:val="21"/>
                <w:szCs w:val="21"/>
              </w:rPr>
            </w:pPr>
          </w:p>
        </w:tc>
        <w:tc>
          <w:tcPr>
            <w:tcW w:w="930" w:type="dxa"/>
            <w:tcBorders>
              <w:tl2br w:val="nil"/>
              <w:tr2bl w:val="nil"/>
            </w:tcBorders>
            <w:vAlign w:val="center"/>
          </w:tcPr>
          <w:p w14:paraId="10DFCCAB">
            <w:pPr>
              <w:spacing w:line="360" w:lineRule="auto"/>
              <w:jc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服务团队</w:t>
            </w:r>
          </w:p>
        </w:tc>
        <w:tc>
          <w:tcPr>
            <w:tcW w:w="6568" w:type="dxa"/>
            <w:tcBorders>
              <w:tl2br w:val="nil"/>
              <w:tr2bl w:val="nil"/>
            </w:tcBorders>
            <w:vAlign w:val="top"/>
          </w:tcPr>
          <w:p w14:paraId="4DF6FC6B">
            <w:pPr>
              <w:spacing w:line="360" w:lineRule="auto"/>
              <w:jc w:val="left"/>
              <w:rPr>
                <w:rFonts w:hint="eastAsia" w:asciiTheme="minorEastAsia" w:hAnsiTheme="minorEastAsia" w:eastAsiaTheme="minorEastAsia" w:cstheme="minorEastAsia"/>
                <w:sz w:val="21"/>
                <w:szCs w:val="21"/>
                <w:lang w:val="en-US" w:eastAsia="zh-CN"/>
              </w:rPr>
            </w:pPr>
            <w:r>
              <w:rPr>
                <w:rFonts w:hint="eastAsia" w:ascii="Times New Roman" w:hAnsi="Times New Roman" w:cs="Times New Roman"/>
                <w:lang w:val="en-US" w:eastAsia="zh-CN"/>
              </w:rPr>
              <w:t>供应商</w:t>
            </w:r>
            <w:r>
              <w:rPr>
                <w:rFonts w:hint="eastAsia" w:ascii="Times New Roman" w:hAnsi="Times New Roman" w:cs="Times New Roman"/>
              </w:rPr>
              <w:t>拟派基本服务团队至少包含以下岗位（每岗位至少1人）：</w:t>
            </w:r>
            <w:r>
              <w:rPr>
                <w:rFonts w:hint="eastAsia" w:ascii="Times New Roman" w:hAnsi="Times New Roman" w:cs="Times New Roman"/>
                <w:lang w:val="en-US" w:eastAsia="zh-CN"/>
              </w:rPr>
              <w:t>导游、旅游顾问、客服、司机、统筹员、后勤保障等</w:t>
            </w:r>
            <w:r>
              <w:rPr>
                <w:rFonts w:hint="eastAsia" w:ascii="Times New Roman" w:hAnsi="Times New Roman" w:cs="Times New Roman"/>
                <w:lang w:eastAsia="zh-CN"/>
              </w:rPr>
              <w:t>，</w:t>
            </w:r>
            <w:r>
              <w:rPr>
                <w:rFonts w:hint="eastAsia" w:ascii="Times New Roman" w:hAnsi="Times New Roman" w:cs="Times New Roman"/>
                <w:lang w:val="en-US" w:eastAsia="zh-CN"/>
              </w:rPr>
              <w:t>得6分。在此基础上</w:t>
            </w:r>
            <w:r>
              <w:rPr>
                <w:rFonts w:hint="default" w:ascii="Times New Roman" w:hAnsi="Times New Roman" w:cs="Times New Roman"/>
              </w:rPr>
              <w:t>：</w:t>
            </w:r>
            <w:r>
              <w:rPr>
                <w:rFonts w:hint="default" w:ascii="Times New Roman" w:hAnsi="Times New Roman" w:cs="Times New Roman"/>
              </w:rPr>
              <w:br w:type="textWrapping"/>
            </w:r>
            <w:r>
              <w:rPr>
                <w:rFonts w:hint="default" w:ascii="Times New Roman" w:hAnsi="Times New Roman" w:cs="Times New Roman"/>
              </w:rPr>
              <w:t>每增加1名符合上述岗位的人员得1分，最高</w:t>
            </w:r>
            <w:r>
              <w:rPr>
                <w:rFonts w:hint="eastAsia" w:ascii="Times New Roman" w:hAnsi="Times New Roman" w:cs="Times New Roman"/>
                <w:lang w:val="en-US" w:eastAsia="zh-CN"/>
              </w:rPr>
              <w:t>得</w:t>
            </w:r>
            <w:r>
              <w:rPr>
                <w:rFonts w:hint="default" w:ascii="Times New Roman" w:hAnsi="Times New Roman" w:cs="Times New Roman"/>
              </w:rPr>
              <w:t>6分。</w:t>
            </w:r>
            <w:r>
              <w:rPr>
                <w:rFonts w:hint="default" w:ascii="Times New Roman" w:hAnsi="Times New Roman" w:cs="Times New Roman"/>
              </w:rPr>
              <w:br w:type="textWrapping"/>
            </w:r>
            <w:r>
              <w:rPr>
                <w:rFonts w:hint="eastAsia" w:asciiTheme="minorEastAsia" w:hAnsiTheme="minorEastAsia" w:eastAsiaTheme="minorEastAsia" w:cstheme="minorEastAsia"/>
                <w:b/>
                <w:bCs/>
                <w:sz w:val="21"/>
                <w:szCs w:val="21"/>
              </w:rPr>
              <w:t>评审依据：</w:t>
            </w:r>
            <w:r>
              <w:rPr>
                <w:rFonts w:hint="eastAsia" w:asciiTheme="minorEastAsia" w:hAnsiTheme="minorEastAsia" w:eastAsiaTheme="minorEastAsia" w:cstheme="minorEastAsia"/>
                <w:b/>
                <w:bCs/>
                <w:sz w:val="21"/>
                <w:szCs w:val="21"/>
                <w:lang w:val="en-US" w:eastAsia="zh-CN"/>
              </w:rPr>
              <w:t>响应文件中</w:t>
            </w:r>
            <w:r>
              <w:rPr>
                <w:rFonts w:hint="eastAsia" w:asciiTheme="minorEastAsia" w:hAnsiTheme="minorEastAsia" w:eastAsiaTheme="minorEastAsia" w:cstheme="minorEastAsia"/>
                <w:b/>
                <w:bCs/>
                <w:sz w:val="21"/>
                <w:szCs w:val="21"/>
              </w:rPr>
              <w:t>提供</w:t>
            </w:r>
            <w:r>
              <w:rPr>
                <w:rFonts w:hint="eastAsia" w:asciiTheme="minorEastAsia" w:hAnsiTheme="minorEastAsia" w:eastAsiaTheme="minorEastAsia" w:cstheme="minorEastAsia"/>
                <w:b/>
                <w:bCs/>
                <w:sz w:val="21"/>
                <w:szCs w:val="21"/>
                <w:lang w:val="en-US" w:eastAsia="zh-CN"/>
              </w:rPr>
              <w:t>服务团队</w:t>
            </w:r>
            <w:r>
              <w:rPr>
                <w:rFonts w:hint="eastAsia" w:asciiTheme="minorEastAsia" w:hAnsiTheme="minorEastAsia" w:eastAsiaTheme="minorEastAsia" w:cstheme="minorEastAsia"/>
                <w:b/>
                <w:bCs/>
                <w:sz w:val="21"/>
                <w:szCs w:val="21"/>
              </w:rPr>
              <w:t>人员名单及负责岗位，</w:t>
            </w:r>
            <w:r>
              <w:rPr>
                <w:rFonts w:hint="eastAsia" w:asciiTheme="minorEastAsia" w:hAnsiTheme="minorEastAsia" w:eastAsiaTheme="minorEastAsia" w:cstheme="minorEastAsia"/>
                <w:b/>
                <w:bCs/>
                <w:sz w:val="21"/>
                <w:szCs w:val="21"/>
                <w:lang w:val="en-US" w:eastAsia="zh-CN"/>
              </w:rPr>
              <w:t>以及供应商在开标前近6个月内任意一个月为其缴纳社保的缴费凭证并加盖供应商公章。</w:t>
            </w:r>
          </w:p>
        </w:tc>
        <w:tc>
          <w:tcPr>
            <w:tcW w:w="569" w:type="dxa"/>
            <w:tcBorders>
              <w:tl2br w:val="nil"/>
              <w:tr2bl w:val="nil"/>
            </w:tcBorders>
            <w:vAlign w:val="center"/>
          </w:tcPr>
          <w:p w14:paraId="48797411">
            <w:pPr>
              <w:spacing w:line="360" w:lineRule="auto"/>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12分</w:t>
            </w:r>
          </w:p>
        </w:tc>
      </w:tr>
      <w:tr w14:paraId="3C1F3C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593E6BFA">
            <w:pPr>
              <w:autoSpaceDE w:val="0"/>
              <w:autoSpaceDN w:val="0"/>
              <w:spacing w:line="360" w:lineRule="auto"/>
              <w:jc w:val="center"/>
              <w:rPr>
                <w:rFonts w:hint="eastAsia" w:asciiTheme="minorEastAsia" w:hAnsiTheme="minorEastAsia" w:eastAsiaTheme="minorEastAsia" w:cstheme="minorEastAsia"/>
                <w:sz w:val="21"/>
                <w:szCs w:val="21"/>
              </w:rPr>
            </w:pPr>
          </w:p>
        </w:tc>
        <w:tc>
          <w:tcPr>
            <w:tcW w:w="930" w:type="dxa"/>
            <w:tcBorders>
              <w:tl2br w:val="nil"/>
              <w:tr2bl w:val="nil"/>
            </w:tcBorders>
            <w:vAlign w:val="center"/>
          </w:tcPr>
          <w:p w14:paraId="0B46796C">
            <w:pPr>
              <w:spacing w:line="360" w:lineRule="auto"/>
              <w:jc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旅行社保险</w:t>
            </w:r>
          </w:p>
        </w:tc>
        <w:tc>
          <w:tcPr>
            <w:tcW w:w="6568" w:type="dxa"/>
            <w:tcBorders>
              <w:tl2br w:val="nil"/>
              <w:tr2bl w:val="nil"/>
            </w:tcBorders>
            <w:vAlign w:val="top"/>
          </w:tcPr>
          <w:p w14:paraId="15ACA77F">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承诺成交后为其投保：</w:t>
            </w:r>
          </w:p>
          <w:p w14:paraId="41372B3E">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旅行社责任险X、个人旅游意外险Y。</w:t>
            </w:r>
          </w:p>
          <w:p w14:paraId="5091AE06">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①X≥1500万、Y≥30万，得</w:t>
            </w:r>
            <w:r>
              <w:rPr>
                <w:rFonts w:hint="eastAsia" w:asciiTheme="minorEastAsia" w:hAnsiTheme="minorEastAsia" w:eastAsiaTheme="minorEastAsia" w:cstheme="minorEastAsia"/>
                <w:color w:val="000000"/>
                <w:sz w:val="21"/>
                <w:szCs w:val="21"/>
                <w:lang w:val="en-US" w:eastAsia="zh-CN"/>
              </w:rPr>
              <w:t>8</w:t>
            </w:r>
            <w:r>
              <w:rPr>
                <w:rFonts w:hint="eastAsia" w:asciiTheme="minorEastAsia" w:hAnsiTheme="minorEastAsia" w:eastAsiaTheme="minorEastAsia" w:cstheme="minorEastAsia"/>
                <w:color w:val="000000"/>
                <w:sz w:val="21"/>
                <w:szCs w:val="21"/>
              </w:rPr>
              <w:t>分；</w:t>
            </w:r>
          </w:p>
          <w:p w14:paraId="25453FBB">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②1200万≤X＜1500万</w:t>
            </w:r>
            <w:bookmarkStart w:id="0" w:name="_GoBack"/>
            <w:bookmarkEnd w:id="0"/>
            <w:r>
              <w:rPr>
                <w:rFonts w:hint="eastAsia" w:asciiTheme="minorEastAsia" w:hAnsiTheme="minorEastAsia" w:eastAsiaTheme="minorEastAsia" w:cstheme="minorEastAsia"/>
                <w:color w:val="000000"/>
                <w:sz w:val="21"/>
                <w:szCs w:val="21"/>
              </w:rPr>
              <w:t>、20万≤Y＜30万，得</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分；</w:t>
            </w:r>
          </w:p>
          <w:p w14:paraId="6B48A8A9">
            <w:pPr>
              <w:pStyle w:val="4"/>
              <w:keepNext w:val="0"/>
              <w:keepLines w:val="0"/>
              <w:pageBreakBefore w:val="0"/>
              <w:numPr>
                <w:ilvl w:val="255"/>
                <w:numId w:val="0"/>
              </w:numPr>
              <w:kinsoku/>
              <w:wordWrap/>
              <w:overflowPunct/>
              <w:topLinePunct w:val="0"/>
              <w:autoSpaceDE/>
              <w:autoSpaceDN/>
              <w:bidi w:val="0"/>
              <w:spacing w:after="0" w:line="360" w:lineRule="auto"/>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③X＜1200万、Y＜20万，得</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分。</w:t>
            </w:r>
          </w:p>
          <w:p w14:paraId="440C20ED">
            <w:pPr>
              <w:pStyle w:val="3"/>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评审依据：响应文件中提供承诺函（格式自拟）并加盖供应商公章。</w:t>
            </w:r>
          </w:p>
        </w:tc>
        <w:tc>
          <w:tcPr>
            <w:tcW w:w="569" w:type="dxa"/>
            <w:tcBorders>
              <w:tl2br w:val="nil"/>
              <w:tr2bl w:val="nil"/>
            </w:tcBorders>
            <w:vAlign w:val="center"/>
          </w:tcPr>
          <w:p w14:paraId="5FB73C79">
            <w:pPr>
              <w:spacing w:line="360" w:lineRule="auto"/>
              <w:jc w:val="center"/>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8分</w:t>
            </w:r>
          </w:p>
        </w:tc>
      </w:tr>
      <w:tr w14:paraId="0898F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Merge w:val="continue"/>
            <w:tcBorders>
              <w:tl2br w:val="nil"/>
              <w:tr2bl w:val="nil"/>
            </w:tcBorders>
            <w:vAlign w:val="center"/>
          </w:tcPr>
          <w:p w14:paraId="2C46B652">
            <w:pPr>
              <w:autoSpaceDE w:val="0"/>
              <w:autoSpaceDN w:val="0"/>
              <w:spacing w:line="360" w:lineRule="auto"/>
              <w:jc w:val="center"/>
              <w:rPr>
                <w:rFonts w:hint="eastAsia" w:asciiTheme="minorEastAsia" w:hAnsiTheme="minorEastAsia" w:eastAsiaTheme="minorEastAsia" w:cstheme="minorEastAsia"/>
                <w:sz w:val="21"/>
                <w:szCs w:val="21"/>
              </w:rPr>
            </w:pPr>
          </w:p>
        </w:tc>
        <w:tc>
          <w:tcPr>
            <w:tcW w:w="930" w:type="dxa"/>
            <w:tcBorders>
              <w:tl2br w:val="nil"/>
              <w:tr2bl w:val="nil"/>
            </w:tcBorders>
            <w:vAlign w:val="center"/>
          </w:tcPr>
          <w:p w14:paraId="44B444B8">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业绩</w:t>
            </w:r>
          </w:p>
          <w:p w14:paraId="5D8F7774">
            <w:pPr>
              <w:bidi w:val="0"/>
              <w:spacing w:line="360" w:lineRule="auto"/>
              <w:jc w:val="left"/>
              <w:rPr>
                <w:rFonts w:hint="eastAsia" w:asciiTheme="minorEastAsia" w:hAnsiTheme="minorEastAsia" w:eastAsiaTheme="minorEastAsia" w:cstheme="minorEastAsia"/>
                <w:b w:val="0"/>
                <w:bCs w:val="0"/>
                <w:kern w:val="0"/>
                <w:sz w:val="21"/>
                <w:szCs w:val="21"/>
              </w:rPr>
            </w:pPr>
          </w:p>
        </w:tc>
        <w:tc>
          <w:tcPr>
            <w:tcW w:w="6568" w:type="dxa"/>
            <w:tcBorders>
              <w:tl2br w:val="nil"/>
              <w:tr2bl w:val="nil"/>
            </w:tcBorders>
            <w:vAlign w:val="top"/>
          </w:tcPr>
          <w:p w14:paraId="533DC2B5">
            <w:pPr>
              <w:pStyle w:val="7"/>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lang w:val="en-US" w:eastAsia="zh-CN" w:bidi="ar-SA"/>
              </w:rPr>
              <w:t>供应商自2022年1月1日至今（以合同签订时间为准）承揽过类似团体活动项目的，每有一个得1分，最高得3分</w:t>
            </w:r>
            <w:r>
              <w:rPr>
                <w:rFonts w:hint="eastAsia" w:asciiTheme="minorEastAsia" w:hAnsiTheme="minorEastAsia" w:eastAsiaTheme="minorEastAsia" w:cstheme="minorEastAsia"/>
                <w:sz w:val="21"/>
                <w:szCs w:val="21"/>
              </w:rPr>
              <w:t>。</w:t>
            </w:r>
          </w:p>
          <w:p w14:paraId="3A734171">
            <w:pPr>
              <w:keepNext w:val="0"/>
              <w:keepLines w:val="0"/>
              <w:pageBreakBefore w:val="0"/>
              <w:numPr>
                <w:ilvl w:val="-1"/>
                <w:numId w:val="0"/>
              </w:numPr>
              <w:kinsoku/>
              <w:wordWrap/>
              <w:overflowPunct/>
              <w:topLinePunct w:val="0"/>
              <w:autoSpaceDE/>
              <w:autoSpaceDN/>
              <w:bidi w:val="0"/>
              <w:spacing w:line="360" w:lineRule="auto"/>
              <w:ind w:left="0" w:leftChars="0" w:firstLine="0" w:firstLineChars="0"/>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bCs/>
                <w:sz w:val="21"/>
                <w:szCs w:val="21"/>
              </w:rPr>
              <w:t>评审依据：响应文件中提供</w:t>
            </w:r>
            <w:r>
              <w:rPr>
                <w:rFonts w:hint="eastAsia" w:asciiTheme="minorEastAsia" w:hAnsiTheme="minorEastAsia" w:eastAsiaTheme="minorEastAsia" w:cstheme="minorEastAsia"/>
                <w:b/>
                <w:bCs/>
                <w:sz w:val="21"/>
                <w:szCs w:val="21"/>
                <w:lang w:eastAsia="zh-CN"/>
              </w:rPr>
              <w:t>完整</w:t>
            </w:r>
            <w:r>
              <w:rPr>
                <w:rFonts w:hint="eastAsia" w:asciiTheme="minorEastAsia" w:hAnsiTheme="minorEastAsia" w:eastAsiaTheme="minorEastAsia" w:cstheme="minorEastAsia"/>
                <w:b/>
                <w:bCs/>
                <w:sz w:val="21"/>
                <w:szCs w:val="21"/>
              </w:rPr>
              <w:t>合同复印件</w:t>
            </w:r>
            <w:r>
              <w:rPr>
                <w:rFonts w:hint="eastAsia" w:asciiTheme="minorEastAsia" w:hAnsiTheme="minorEastAsia" w:eastAsiaTheme="minorEastAsia" w:cstheme="minorEastAsia"/>
                <w:b/>
                <w:bCs/>
                <w:sz w:val="21"/>
                <w:szCs w:val="21"/>
                <w:lang w:eastAsia="zh-CN"/>
              </w:rPr>
              <w:t>并</w:t>
            </w:r>
            <w:r>
              <w:rPr>
                <w:rFonts w:hint="eastAsia" w:asciiTheme="minorEastAsia" w:hAnsiTheme="minorEastAsia" w:eastAsiaTheme="minorEastAsia" w:cstheme="minorEastAsia"/>
                <w:b/>
                <w:bCs/>
                <w:sz w:val="21"/>
                <w:szCs w:val="21"/>
              </w:rPr>
              <w:t>加盖供应商公章。</w:t>
            </w:r>
          </w:p>
        </w:tc>
        <w:tc>
          <w:tcPr>
            <w:tcW w:w="569" w:type="dxa"/>
            <w:tcBorders>
              <w:tl2br w:val="nil"/>
              <w:tr2bl w:val="nil"/>
            </w:tcBorders>
            <w:vAlign w:val="center"/>
          </w:tcPr>
          <w:p w14:paraId="6F7AD73C">
            <w:pPr>
              <w:spacing w:line="360" w:lineRule="auto"/>
              <w:jc w:val="center"/>
              <w:rPr>
                <w:rFonts w:hint="default"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bCs/>
                <w:kern w:val="0"/>
                <w:sz w:val="21"/>
                <w:szCs w:val="21"/>
                <w:lang w:val="en-US" w:eastAsia="zh-CN"/>
              </w:rPr>
              <w:t>3分</w:t>
            </w:r>
          </w:p>
        </w:tc>
      </w:tr>
    </w:tbl>
    <w:p w14:paraId="2431C6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B9EEE"/>
    <w:multiLevelType w:val="singleLevel"/>
    <w:tmpl w:val="770B9EE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F65E1"/>
    <w:rsid w:val="42BF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annotation text"/>
    <w:basedOn w:val="1"/>
    <w:semiHidden/>
    <w:qFormat/>
    <w:uiPriority w:val="0"/>
    <w:pPr>
      <w:jc w:val="left"/>
    </w:pPr>
  </w:style>
  <w:style w:type="paragraph" w:styleId="4">
    <w:name w:val="Body Text First Indent"/>
    <w:basedOn w:val="2"/>
    <w:unhideWhenUsed/>
    <w:qFormat/>
    <w:uiPriority w:val="99"/>
    <w:pPr>
      <w:tabs>
        <w:tab w:val="left" w:pos="567"/>
      </w:tabs>
      <w:ind w:firstLine="420" w:firstLineChars="100"/>
    </w:pPr>
  </w:style>
  <w:style w:type="paragraph" w:customStyle="1" w:styleId="7">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2025-09-29T02:53:00Z</dcterms:created>
  <dc:creator>胡俊</dc:creator>
  <cp:lastModifiedBy>胡俊</cp:lastModifiedBy>
  <dcterms:modified xsi:type="dcterms:W3CDTF">2025-09-29T03:05:53Z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4987CBEBD8D1401F9AEDB5771BA6825F_11</vt:lpwstr>
  </property>
  <property fmtid="{D5CDD505-2E9C-101B-9397-08002B2CF9AE}" pid="4" name="KSOTemplateDocerSaveRecord">
    <vt:lpwstr>eyJoZGlkIjoiYWVlMWY1M2EyZjg4MmJjMmRlOTljMGI1YjllMTI0ZTQiLCJ1c2VySWQiOiIzNTcyNTYxNTQifQ==</vt:lpwstr>
  </property>
</Properties>
</file>